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line="240" w:before="20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rtl w:val="0"/>
        </w:rPr>
        <w:t xml:space="preserve">INVESTIGATION PRESENTATION RUBRIC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24"/>
        <w:gridCol w:w="1556"/>
        <w:gridCol w:w="1425"/>
        <w:gridCol w:w="1700"/>
        <w:gridCol w:w="1621"/>
        <w:gridCol w:w="835"/>
        <w:tblGridChange w:id="0">
          <w:tblGrid>
            <w:gridCol w:w="2224"/>
            <w:gridCol w:w="1556"/>
            <w:gridCol w:w="1425"/>
            <w:gridCol w:w="1700"/>
            <w:gridCol w:w="1621"/>
            <w:gridCol w:w="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Beginning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Developing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Accomplished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rtl w:val="0"/>
              </w:rPr>
              <w:t xml:space="preserve">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Project 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Disorganized, no understanding of how to proceed from one step to the next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Lacks organization, constantly checking with teacher and/or other groups on how to proceed in each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Organized, requires minimal guidance on how to proceed on each step of the project.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Excellent organizational skills, proceeded through the project without needing guidance.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Guiding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Does not know how to form a research question and requires continual guidance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Is able to form a research question with guidance throughout the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Efficient at forming a research question, may require some guidance on making the question narrow enough for investigation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Excellent ability to form a research question without needing guidance.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Hypothesis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Is unable or unwilling to form a testable hypothesis without continuous guidance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Is able to to form a testable hypothesis with some guidances; and included in notebook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Proficient at forming a testable hypothesis with minimal guidance; and included in notebook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Excellent at forming a testable hypothesis without guidance; and included in notebook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Materials and Experimental Procedure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Provides no description of the steps of testing procedure in notebook and requires intensive assistance throughout the procedure writing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Includes a limited description of testing steps in the notebook; can complete the process with guidance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Includes a complete description of testing steps in the notebook; can complete the process with minimal guidance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Includes a complete description of testing steps in the notebook; can complete the process without any guidance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Selection of Variables and Data Collection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Unable to determine the appropriate variables for measurement without continuous assistance; is unable to accurately record experimental data without assistance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Able to determine the appropriate variables for measurement with some assistance; is able to accurately record experimental data with minimal assistance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Determines the appropriate variables for measurement with minimal assistance; is able to accurately record experimental data without assistance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Determines the appropriate variables for measurement without assistance; is able to accurately record experimental data without assistance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Data Analysis and Conclusions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Provided no analysis of the data and had very weak conclusions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Data analysis was limited and did not address validity of data, provided conclusions on the inquiry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Data analysis was well-done but did not fully address error; good conclusion on the inquiry and provided applications for future experiments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Data analysis well-done and addresses source of error; excellent conclusion and provided application for future experients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Presentation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Demonstration is poor: statement of question and/or hypothesis not given; speakers unprepared and unsure of testing process; showed no evidence of practice; no notes for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rtl w:val="0"/>
              </w:rPr>
              <w:t xml:space="preserve">Demonstration </w:t>
            </w: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is fair-to-good: statement of question and/or hypothesis incomplete or unclear; speakers somewhat prepared and confident of testing process; showed some evidence of practice; few notes for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rtl w:val="0"/>
              </w:rPr>
              <w:t xml:space="preserve">Demonstration </w:t>
            </w: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is good-to-very good: statement of question and or hypothesis complete; speakers were prepared and confident of testing process; showed evidence of practice; good notes for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z w:val="20"/>
                <w:rtl w:val="0"/>
              </w:rPr>
              <w:t xml:space="preserve">Demonstration </w:t>
            </w: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is very good-to- excellent: statement of question and hypothesis complete; speakers were prepared and confident of testing process; showed evidence of practice; excellent notes for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color w:val="ffffff"/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ind w:firstLine="15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before="20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aramond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Presentation Rubric.docx</dc:title>
</cp:coreProperties>
</file>