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77DF" w:rsidRPr="000F5B68" w:rsidRDefault="006F77DF" w:rsidP="000F5B68">
      <w:pPr>
        <w:spacing w:after="120"/>
        <w:rPr>
          <w:rFonts w:ascii="Arial" w:hAnsi="Arial" w:cs="Arial"/>
          <w:color w:val="800000"/>
        </w:rPr>
      </w:pPr>
      <w:r w:rsidRPr="000F5B68">
        <w:rPr>
          <w:rFonts w:ascii="Arial" w:hAnsi="Arial" w:cs="Arial"/>
          <w:b/>
          <w:bCs/>
          <w:color w:val="800000"/>
        </w:rPr>
        <w:t>Purpose</w:t>
      </w:r>
      <w:r w:rsidRPr="000F5B68">
        <w:rPr>
          <w:rFonts w:ascii="Arial" w:hAnsi="Arial" w:cs="Arial"/>
          <w:color w:val="800000"/>
        </w:rPr>
        <w:t xml:space="preserve"> </w:t>
      </w:r>
    </w:p>
    <w:p w:rsidR="008A6C0A" w:rsidRPr="000F5B68" w:rsidRDefault="008A6C0A" w:rsidP="002C6686">
      <w:pPr>
        <w:widowControl/>
        <w:numPr>
          <w:ilvl w:val="0"/>
          <w:numId w:val="2"/>
        </w:numPr>
        <w:tabs>
          <w:tab w:val="clear" w:pos="720"/>
        </w:tabs>
        <w:ind w:left="360"/>
      </w:pPr>
      <w:r>
        <w:t>See that experimental probability approaches theoretical probability when a sufficient number of experiments are conducted</w:t>
      </w:r>
      <w:r w:rsidR="006F77DF" w:rsidRPr="000F5B68">
        <w:t>.</w:t>
      </w:r>
      <w:r w:rsidR="004358FB">
        <w:t xml:space="preserve"> </w:t>
      </w:r>
    </w:p>
    <w:p w:rsidR="006F77DF" w:rsidRPr="000F5B68" w:rsidRDefault="006F77DF" w:rsidP="006F77DF">
      <w:pPr>
        <w:widowControl/>
        <w:numPr>
          <w:ilvl w:val="0"/>
          <w:numId w:val="2"/>
        </w:numPr>
        <w:tabs>
          <w:tab w:val="clear" w:pos="720"/>
        </w:tabs>
        <w:ind w:left="360"/>
      </w:pPr>
      <w:r w:rsidRPr="000F5B68">
        <w:t xml:space="preserve">Use iSENSE to visualize and </w:t>
      </w:r>
      <w:r w:rsidR="008A6C0A">
        <w:t>explore this effect</w:t>
      </w:r>
      <w:r w:rsidRPr="000F5B68">
        <w:t>.</w:t>
      </w:r>
    </w:p>
    <w:p w:rsidR="006F77DF" w:rsidRDefault="006F77DF" w:rsidP="006F77DF">
      <w:pPr>
        <w:rPr>
          <w:rFonts w:ascii="Calibri" w:hAnsi="Calibri" w:cs="Arial"/>
        </w:rPr>
      </w:pPr>
    </w:p>
    <w:p w:rsidR="008A6C0A" w:rsidRDefault="000F5B68" w:rsidP="008A6C0A">
      <w:pPr>
        <w:spacing w:after="120"/>
        <w:rPr>
          <w:rFonts w:ascii="Arial" w:hAnsi="Arial" w:cs="Arial"/>
          <w:b/>
          <w:bCs/>
          <w:color w:val="800000"/>
        </w:rPr>
      </w:pPr>
      <w:r w:rsidRPr="000F5B68">
        <w:rPr>
          <w:rFonts w:ascii="Arial" w:hAnsi="Arial" w:cs="Arial"/>
          <w:b/>
          <w:bCs/>
          <w:color w:val="800000"/>
        </w:rPr>
        <w:t>Materials</w:t>
      </w:r>
    </w:p>
    <w:p w:rsidR="006F77DF" w:rsidRDefault="008A6C0A" w:rsidP="008A6C0A">
      <w:pPr>
        <w:numPr>
          <w:ilvl w:val="0"/>
          <w:numId w:val="10"/>
        </w:numPr>
        <w:spacing w:after="120"/>
        <w:ind w:left="360"/>
      </w:pPr>
      <w:r>
        <w:t xml:space="preserve">Container with 12 </w:t>
      </w:r>
      <w:r w:rsidR="005F149D">
        <w:t>block</w:t>
      </w:r>
      <w:r>
        <w:t>s; yellow, red, blue</w:t>
      </w:r>
    </w:p>
    <w:p w:rsidR="008A6C0A" w:rsidRDefault="008A6C0A" w:rsidP="008A6C0A">
      <w:pPr>
        <w:numPr>
          <w:ilvl w:val="0"/>
          <w:numId w:val="10"/>
        </w:numPr>
        <w:spacing w:after="120"/>
        <w:ind w:left="360"/>
      </w:pPr>
      <w:r>
        <w:t>Computer, tablet, or iPad with internet connection</w:t>
      </w:r>
    </w:p>
    <w:p w:rsidR="000463B9" w:rsidRDefault="008A6C0A" w:rsidP="000463B9">
      <w:pPr>
        <w:numPr>
          <w:ilvl w:val="0"/>
          <w:numId w:val="10"/>
        </w:numPr>
        <w:spacing w:after="120"/>
        <w:ind w:left="360"/>
      </w:pPr>
      <w:r>
        <w:t xml:space="preserve">Interactive website – </w:t>
      </w:r>
      <w:hyperlink r:id="rId8" w:history="1">
        <w:r w:rsidR="000463B9" w:rsidRPr="000463B9">
          <w:rPr>
            <w:rStyle w:val="Hipervnculo"/>
          </w:rPr>
          <w:t>www.isenseproject.org</w:t>
        </w:r>
      </w:hyperlink>
    </w:p>
    <w:p w:rsidR="008A6C0A" w:rsidRPr="00250467" w:rsidRDefault="005F0CDD" w:rsidP="008A6C0A">
      <w:pPr>
        <w:spacing w:after="120"/>
        <w:jc w:val="center"/>
      </w:pPr>
      <w:r>
        <w:rPr>
          <w:noProof/>
          <w:lang w:val="es-MX" w:eastAsia="es-MX"/>
        </w:rPr>
        <w:drawing>
          <wp:inline distT="0" distB="0" distL="0" distR="0">
            <wp:extent cx="939800" cy="125306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31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5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71" w:rsidRPr="000F5B68" w:rsidRDefault="000F5B68" w:rsidP="000F5B68">
      <w:pPr>
        <w:widowControl/>
        <w:spacing w:after="120"/>
        <w:rPr>
          <w:rFonts w:ascii="Arial" w:hAnsi="Arial" w:cs="Arial"/>
          <w:b/>
          <w:color w:val="800000"/>
        </w:rPr>
      </w:pPr>
      <w:r w:rsidRPr="000F5B68">
        <w:rPr>
          <w:rFonts w:ascii="Arial" w:hAnsi="Arial" w:cs="Arial"/>
          <w:b/>
          <w:color w:val="800000"/>
        </w:rPr>
        <w:t>Method</w:t>
      </w:r>
    </w:p>
    <w:p w:rsidR="00250467" w:rsidRDefault="002C6686" w:rsidP="002F56DE">
      <w:pPr>
        <w:numPr>
          <w:ilvl w:val="0"/>
          <w:numId w:val="4"/>
        </w:numPr>
        <w:tabs>
          <w:tab w:val="clear" w:pos="720"/>
        </w:tabs>
        <w:ind w:left="360"/>
      </w:pPr>
      <w:r>
        <w:t>D</w:t>
      </w:r>
      <w:r w:rsidR="005F0CDD">
        <w:t>ivide into groups of 2 and gather materials.</w:t>
      </w:r>
    </w:p>
    <w:p w:rsidR="005F0CDD" w:rsidRDefault="005F0CDD" w:rsidP="002F56DE">
      <w:pPr>
        <w:numPr>
          <w:ilvl w:val="0"/>
          <w:numId w:val="4"/>
        </w:numPr>
        <w:tabs>
          <w:tab w:val="clear" w:pos="720"/>
        </w:tabs>
        <w:ind w:left="360"/>
      </w:pPr>
      <w:r>
        <w:rPr>
          <w:b/>
        </w:rPr>
        <w:t>Without looking in the container</w:t>
      </w:r>
      <w:r>
        <w:t>, student 1</w:t>
      </w:r>
      <w:r w:rsidR="00520635">
        <w:t>, select</w:t>
      </w:r>
      <w:r>
        <w:t xml:space="preserve"> one </w:t>
      </w:r>
      <w:r w:rsidR="005F149D">
        <w:t>block</w:t>
      </w:r>
      <w:r>
        <w:t xml:space="preserve"> from the container and note its color with a t</w:t>
      </w:r>
      <w:r w:rsidR="002705E3">
        <w:t xml:space="preserve">ally </w:t>
      </w:r>
      <w:r>
        <w:t xml:space="preserve">mark on Table 1. Replace the </w:t>
      </w:r>
      <w:r w:rsidR="005F149D">
        <w:t>block</w:t>
      </w:r>
      <w:r>
        <w:t xml:space="preserve"> back into the container.</w:t>
      </w:r>
    </w:p>
    <w:p w:rsidR="005F0CDD" w:rsidRDefault="005F0CDD" w:rsidP="005F0CDD">
      <w:pPr>
        <w:numPr>
          <w:ilvl w:val="0"/>
          <w:numId w:val="4"/>
        </w:numPr>
        <w:tabs>
          <w:tab w:val="clear" w:pos="720"/>
        </w:tabs>
        <w:ind w:left="360"/>
      </w:pPr>
      <w:r>
        <w:rPr>
          <w:b/>
        </w:rPr>
        <w:t>Without looking in the container</w:t>
      </w:r>
      <w:r>
        <w:t xml:space="preserve">, student </w:t>
      </w:r>
      <w:r w:rsidR="00520635">
        <w:t>2, select</w:t>
      </w:r>
      <w:r>
        <w:t xml:space="preserve"> one </w:t>
      </w:r>
      <w:r w:rsidR="005F149D">
        <w:t>block</w:t>
      </w:r>
      <w:r>
        <w:t xml:space="preserve"> from the container and note its color with a t</w:t>
      </w:r>
      <w:r w:rsidR="002705E3">
        <w:t>ally</w:t>
      </w:r>
      <w:r>
        <w:t xml:space="preserve"> mark on Table 1. Replace the </w:t>
      </w:r>
      <w:r w:rsidR="005F149D">
        <w:t>block</w:t>
      </w:r>
      <w:r>
        <w:t xml:space="preserve"> back into the container.</w:t>
      </w:r>
    </w:p>
    <w:p w:rsidR="002C6686" w:rsidRDefault="00520635" w:rsidP="002C6686">
      <w:pPr>
        <w:numPr>
          <w:ilvl w:val="0"/>
          <w:numId w:val="4"/>
        </w:numPr>
        <w:tabs>
          <w:tab w:val="clear" w:pos="720"/>
        </w:tabs>
        <w:ind w:left="360"/>
      </w:pPr>
      <w:r>
        <w:t>Students 1 and 2 take turns repeating steps 2 and 3 until each has tallied 5 outcomes, for a total of 10 outcomes.</w:t>
      </w:r>
    </w:p>
    <w:p w:rsidR="002C6686" w:rsidRDefault="002C6686" w:rsidP="002C6686">
      <w:pPr>
        <w:ind w:left="360"/>
      </w:pPr>
    </w:p>
    <w:tbl>
      <w:tblPr>
        <w:tblW w:w="5000" w:type="dxa"/>
        <w:tblInd w:w="93" w:type="dxa"/>
        <w:tblLook w:val="04A0" w:firstRow="1" w:lastRow="0" w:firstColumn="1" w:lastColumn="0" w:noHBand="0" w:noVBand="1"/>
      </w:tblPr>
      <w:tblGrid>
        <w:gridCol w:w="1250"/>
        <w:gridCol w:w="1250"/>
        <w:gridCol w:w="1250"/>
        <w:gridCol w:w="1250"/>
      </w:tblGrid>
      <w:tr w:rsidR="00C83ADF" w:rsidRPr="00520635">
        <w:trPr>
          <w:trHeight w:val="30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Red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Blue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86" w:rsidRPr="00520635" w:rsidRDefault="009D19DB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Green</w:t>
            </w:r>
          </w:p>
        </w:tc>
      </w:tr>
      <w:tr w:rsidR="00C83ADF" w:rsidRPr="00520635">
        <w:trPr>
          <w:trHeight w:val="30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Student 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C83ADF" w:rsidRPr="00520635">
        <w:trPr>
          <w:trHeight w:val="30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Student 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C83ADF" w:rsidRPr="00520635">
        <w:trPr>
          <w:trHeight w:val="30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Total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</w:tbl>
    <w:p w:rsidR="002C6686" w:rsidRDefault="002C6686" w:rsidP="00AF52DC">
      <w:pPr>
        <w:jc w:val="center"/>
      </w:pPr>
      <w:r>
        <w:t>Table 1</w:t>
      </w:r>
    </w:p>
    <w:p w:rsidR="002C6686" w:rsidRDefault="002C6686" w:rsidP="002C6686"/>
    <w:p w:rsidR="00CB22D0" w:rsidRDefault="00CB22D0" w:rsidP="009D19DB">
      <w:pPr>
        <w:pStyle w:val="Prrafodelista"/>
        <w:numPr>
          <w:ilvl w:val="0"/>
          <w:numId w:val="4"/>
        </w:numPr>
        <w:tabs>
          <w:tab w:val="clear" w:pos="720"/>
        </w:tabs>
        <w:ind w:left="426"/>
      </w:pPr>
      <w:r>
        <w:t>Enter</w:t>
      </w:r>
      <w:r w:rsidR="002C6686">
        <w:t xml:space="preserve"> your</w:t>
      </w:r>
      <w:r w:rsidR="002C6686" w:rsidRPr="009D19DB">
        <w:rPr>
          <w:i/>
        </w:rPr>
        <w:t xml:space="preserve"> Totals</w:t>
      </w:r>
      <w:r>
        <w:t xml:space="preserve"> </w:t>
      </w:r>
      <w:r w:rsidR="00491F4F">
        <w:t xml:space="preserve">from Table 1 </w:t>
      </w:r>
      <w:r>
        <w:t>into iSENSE</w:t>
      </w:r>
      <w:r w:rsidR="009D19DB">
        <w:t xml:space="preserve"> (1 entry per couple)</w:t>
      </w:r>
    </w:p>
    <w:p w:rsidR="002C6686" w:rsidRPr="002C6686" w:rsidRDefault="002C6686" w:rsidP="0086054B">
      <w:pPr>
        <w:pStyle w:val="Prrafodelista"/>
        <w:numPr>
          <w:ilvl w:val="0"/>
          <w:numId w:val="11"/>
        </w:numPr>
      </w:pPr>
      <w:r>
        <w:t xml:space="preserve">Click on </w:t>
      </w:r>
      <w:r w:rsidR="001E1B46">
        <w:rPr>
          <w:i/>
        </w:rPr>
        <w:t>Data, Manual Entry</w:t>
      </w:r>
    </w:p>
    <w:p w:rsidR="00B669A6" w:rsidRDefault="001E1B46" w:rsidP="004136A6">
      <w:pPr>
        <w:pStyle w:val="Prrafodelista"/>
        <w:numPr>
          <w:ilvl w:val="0"/>
          <w:numId w:val="11"/>
        </w:numPr>
      </w:pPr>
      <w:r>
        <w:t xml:space="preserve">Enter the data set name i.e.: </w:t>
      </w:r>
      <w:r w:rsidR="009D19DB">
        <w:t xml:space="preserve">Group –  </w:t>
      </w:r>
      <w:r w:rsidR="00BC3E93">
        <w:t>FirstName &amp;</w:t>
      </w:r>
      <w:r w:rsidR="009D19DB">
        <w:t xml:space="preserve"> </w:t>
      </w:r>
      <w:r w:rsidR="00B669A6">
        <w:t>FirstName</w:t>
      </w:r>
    </w:p>
    <w:p w:rsidR="0027147A" w:rsidRPr="009D19DB" w:rsidRDefault="002C6686" w:rsidP="004136A6">
      <w:pPr>
        <w:pStyle w:val="Prrafodelista"/>
        <w:numPr>
          <w:ilvl w:val="0"/>
          <w:numId w:val="11"/>
        </w:numPr>
      </w:pPr>
      <w:r>
        <w:t xml:space="preserve">Click on </w:t>
      </w:r>
      <w:r w:rsidR="001E1B46" w:rsidRPr="00B669A6">
        <w:rPr>
          <w:i/>
        </w:rPr>
        <w:t>Save</w:t>
      </w:r>
    </w:p>
    <w:p w:rsidR="009D19DB" w:rsidRDefault="009D19DB" w:rsidP="009D19DB">
      <w:pPr>
        <w:pStyle w:val="Prrafodelista"/>
        <w:ind w:left="1440"/>
      </w:pPr>
    </w:p>
    <w:p w:rsidR="00E86FAD" w:rsidRDefault="00E86FAD" w:rsidP="00E86FAD">
      <w:pPr>
        <w:spacing w:after="120"/>
        <w:rPr>
          <w:rFonts w:ascii="Arial" w:hAnsi="Arial" w:cs="Arial"/>
          <w:b/>
          <w:color w:val="800000"/>
        </w:rPr>
      </w:pPr>
      <w:r w:rsidRPr="000F5B68">
        <w:rPr>
          <w:rFonts w:ascii="Arial" w:hAnsi="Arial" w:cs="Arial"/>
          <w:b/>
          <w:color w:val="800000"/>
        </w:rPr>
        <w:t>iSENSE Analysis</w:t>
      </w:r>
    </w:p>
    <w:p w:rsidR="001040D9" w:rsidRDefault="001040D9" w:rsidP="00E86FAD">
      <w:pPr>
        <w:pStyle w:val="Textoindependiente"/>
        <w:numPr>
          <w:ilvl w:val="0"/>
          <w:numId w:val="5"/>
        </w:numPr>
        <w:tabs>
          <w:tab w:val="clear" w:pos="720"/>
        </w:tabs>
        <w:spacing w:after="0"/>
        <w:ind w:left="360"/>
      </w:pPr>
      <w:r>
        <w:t xml:space="preserve">Select your data set and click </w:t>
      </w:r>
      <w:r>
        <w:rPr>
          <w:i/>
        </w:rPr>
        <w:t>Visualize.</w:t>
      </w:r>
    </w:p>
    <w:p w:rsidR="008B5565" w:rsidRDefault="001040D9" w:rsidP="00E86FAD">
      <w:pPr>
        <w:pStyle w:val="Textoindependiente"/>
        <w:numPr>
          <w:ilvl w:val="0"/>
          <w:numId w:val="5"/>
        </w:numPr>
        <w:tabs>
          <w:tab w:val="clear" w:pos="720"/>
        </w:tabs>
        <w:spacing w:after="0"/>
        <w:ind w:left="360"/>
      </w:pPr>
      <w:r>
        <w:t>V</w:t>
      </w:r>
      <w:r w:rsidR="008B5565" w:rsidRPr="008B5565">
        <w:t>er</w:t>
      </w:r>
      <w:r w:rsidR="008B5565">
        <w:t>ify correct input of your data</w:t>
      </w:r>
      <w:r>
        <w:t xml:space="preserve"> at </w:t>
      </w:r>
      <w:r>
        <w:rPr>
          <w:i/>
        </w:rPr>
        <w:t>Table</w:t>
      </w:r>
      <w:r w:rsidR="008B5565">
        <w:t>.</w:t>
      </w:r>
    </w:p>
    <w:p w:rsidR="00E86FAD" w:rsidRPr="000F5B68" w:rsidRDefault="00E86FAD" w:rsidP="00E86FAD">
      <w:pPr>
        <w:pStyle w:val="Textoindependiente"/>
        <w:numPr>
          <w:ilvl w:val="0"/>
          <w:numId w:val="5"/>
        </w:numPr>
        <w:tabs>
          <w:tab w:val="clear" w:pos="720"/>
        </w:tabs>
        <w:spacing w:after="0"/>
        <w:ind w:left="360"/>
      </w:pPr>
      <w:r>
        <w:t xml:space="preserve">Use the </w:t>
      </w:r>
      <w:r w:rsidRPr="001040D9">
        <w:rPr>
          <w:i/>
        </w:rPr>
        <w:t xml:space="preserve">Bar Chart </w:t>
      </w:r>
      <w:r w:rsidRPr="000F5B68">
        <w:t>to exam</w:t>
      </w:r>
      <w:r w:rsidR="001E1B46">
        <w:t>ine your data.</w:t>
      </w:r>
    </w:p>
    <w:p w:rsidR="00E86FAD" w:rsidRDefault="00E86FAD" w:rsidP="00E86FAD">
      <w:pPr>
        <w:pStyle w:val="Textoindependiente"/>
        <w:numPr>
          <w:ilvl w:val="0"/>
          <w:numId w:val="5"/>
        </w:numPr>
        <w:tabs>
          <w:tab w:val="clear" w:pos="720"/>
        </w:tabs>
        <w:spacing w:after="0"/>
        <w:ind w:left="360"/>
      </w:pPr>
      <w:r w:rsidRPr="000F5B68">
        <w:t xml:space="preserve">Add data </w:t>
      </w:r>
      <w:r>
        <w:t xml:space="preserve">contributed by other participants and visualize using </w:t>
      </w:r>
      <w:r w:rsidRPr="001040D9">
        <w:rPr>
          <w:i/>
        </w:rPr>
        <w:t>Bar Chart,</w:t>
      </w:r>
      <w:r w:rsidR="001E1B46">
        <w:t xml:space="preserve"> or</w:t>
      </w:r>
      <w:r w:rsidRPr="001040D9">
        <w:rPr>
          <w:i/>
        </w:rPr>
        <w:t xml:space="preserve"> Histogram</w:t>
      </w:r>
      <w:r w:rsidRPr="000F5B68">
        <w:t>.</w:t>
      </w:r>
    </w:p>
    <w:p w:rsidR="00E86FAD" w:rsidRDefault="00E86FAD" w:rsidP="00E86FAD">
      <w:pPr>
        <w:pStyle w:val="Textoindependiente"/>
        <w:numPr>
          <w:ilvl w:val="0"/>
          <w:numId w:val="5"/>
        </w:numPr>
        <w:tabs>
          <w:tab w:val="clear" w:pos="720"/>
        </w:tabs>
        <w:spacing w:after="0"/>
        <w:ind w:left="360"/>
      </w:pPr>
      <w:r>
        <w:t>Save any visualization that you find particularly interesting.</w:t>
      </w:r>
    </w:p>
    <w:p w:rsidR="00E86FAD" w:rsidRDefault="00E86FAD" w:rsidP="00E86FAD">
      <w:pPr>
        <w:pStyle w:val="Textoindependiente"/>
        <w:spacing w:after="0"/>
      </w:pPr>
    </w:p>
    <w:p w:rsidR="000F5B68" w:rsidRDefault="00257483" w:rsidP="0027147A">
      <w:pPr>
        <w:pStyle w:val="Textoindependiente"/>
        <w:spacing w:after="0"/>
        <w:jc w:val="center"/>
      </w:pPr>
      <w:r>
        <w:rPr>
          <w:noProof/>
          <w:lang w:val="es-MX" w:eastAsia="es-MX"/>
        </w:rPr>
        <w:drawing>
          <wp:inline distT="0" distB="0" distL="0" distR="0">
            <wp:extent cx="2731214" cy="1678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 w Legos -Graphic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214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483" w:rsidRPr="000F5B68" w:rsidRDefault="00257483" w:rsidP="0027147A">
      <w:pPr>
        <w:pStyle w:val="Textoindependiente"/>
        <w:spacing w:after="0"/>
        <w:jc w:val="center"/>
      </w:pPr>
    </w:p>
    <w:p w:rsidR="0090508C" w:rsidRPr="000F5B68" w:rsidRDefault="000F5B68" w:rsidP="0090508C">
      <w:pPr>
        <w:pStyle w:val="Textoindependiente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Discussion Questions</w:t>
      </w:r>
    </w:p>
    <w:p w:rsidR="000F5B68" w:rsidRDefault="00257483" w:rsidP="000F5B68">
      <w:pPr>
        <w:pStyle w:val="Textoindependiente"/>
        <w:numPr>
          <w:ilvl w:val="3"/>
          <w:numId w:val="2"/>
        </w:numPr>
        <w:tabs>
          <w:tab w:val="clear" w:pos="1800"/>
        </w:tabs>
        <w:spacing w:after="0"/>
        <w:ind w:left="360"/>
      </w:pPr>
      <w:r>
        <w:t xml:space="preserve">If we examine the experimental data from the entire class, does the experimental probability change? How? </w:t>
      </w:r>
    </w:p>
    <w:p w:rsidR="009D19DB" w:rsidRPr="00E44E2D" w:rsidRDefault="00E44E2D" w:rsidP="000F5B68">
      <w:pPr>
        <w:pStyle w:val="Textoindependiente"/>
        <w:numPr>
          <w:ilvl w:val="3"/>
          <w:numId w:val="2"/>
        </w:numPr>
        <w:tabs>
          <w:tab w:val="clear" w:pos="1800"/>
        </w:tabs>
        <w:spacing w:after="0"/>
        <w:ind w:left="360"/>
      </w:pPr>
      <w:r w:rsidRPr="00E44E2D">
        <w:t>Calculate the total, min, max, range, mean and mean devia</w:t>
      </w:r>
      <w:r>
        <w:t>tion for blue and green blocks.</w:t>
      </w:r>
    </w:p>
    <w:p w:rsidR="00E735EC" w:rsidRDefault="00E44E2D" w:rsidP="00E86FAD">
      <w:pPr>
        <w:pStyle w:val="Textoindependiente"/>
        <w:numPr>
          <w:ilvl w:val="3"/>
          <w:numId w:val="2"/>
        </w:numPr>
        <w:tabs>
          <w:tab w:val="clear" w:pos="1800"/>
        </w:tabs>
        <w:spacing w:after="0"/>
        <w:ind w:left="360"/>
      </w:pPr>
      <w:r>
        <w:t>According to the results, how many blocks of each color are in the container?</w:t>
      </w:r>
    </w:p>
    <w:p w:rsidR="00C80AE0" w:rsidRPr="000F5B68" w:rsidRDefault="00C80AE0" w:rsidP="00E86FAD">
      <w:pPr>
        <w:pStyle w:val="Textoindependiente"/>
        <w:numPr>
          <w:ilvl w:val="3"/>
          <w:numId w:val="2"/>
        </w:numPr>
        <w:tabs>
          <w:tab w:val="clear" w:pos="1800"/>
        </w:tabs>
        <w:spacing w:after="0"/>
        <w:ind w:left="360"/>
      </w:pPr>
      <w:r>
        <w:t>According to the mean deviation</w:t>
      </w:r>
      <w:r w:rsidR="007423D6">
        <w:t xml:space="preserve">, how </w:t>
      </w:r>
      <w:r w:rsidR="00DC52B8">
        <w:t xml:space="preserve">reliable </w:t>
      </w:r>
      <w:r w:rsidR="00BE7343">
        <w:t>is</w:t>
      </w:r>
      <w:r w:rsidR="009116F0">
        <w:t xml:space="preserve"> your previous estimation?</w:t>
      </w:r>
      <w:bookmarkStart w:id="0" w:name="_GoBack"/>
      <w:bookmarkEnd w:id="0"/>
    </w:p>
    <w:sectPr w:rsidR="00C80AE0" w:rsidRPr="000F5B68" w:rsidSect="000F5B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1152" w:right="990" w:bottom="1440" w:left="900" w:header="720" w:footer="525" w:gutter="0"/>
      <w:cols w:num="2" w:sep="1" w:space="720" w:equalWidth="0">
        <w:col w:w="4716" w:space="720"/>
        <w:col w:w="49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E5" w:rsidRDefault="008011E5">
      <w:r>
        <w:separator/>
      </w:r>
    </w:p>
  </w:endnote>
  <w:endnote w:type="continuationSeparator" w:id="0">
    <w:p w:rsidR="008011E5" w:rsidRDefault="008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45" w:rsidRDefault="006632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D9" w:rsidRDefault="001040D9" w:rsidP="00DE6BD2">
    <w:pPr>
      <w:pBdr>
        <w:bottom w:val="single" w:sz="6" w:space="1" w:color="auto"/>
      </w:pBdr>
      <w:jc w:val="center"/>
      <w:rPr>
        <w:sz w:val="20"/>
        <w:szCs w:val="20"/>
      </w:rPr>
    </w:pPr>
    <w:r>
      <w:tab/>
    </w:r>
  </w:p>
  <w:p w:rsidR="001040D9" w:rsidRDefault="001040D9" w:rsidP="00DE6BD2">
    <w:pPr>
      <w:jc w:val="center"/>
      <w:rPr>
        <w:sz w:val="20"/>
        <w:szCs w:val="20"/>
      </w:rPr>
    </w:pPr>
    <w:r>
      <w:rPr>
        <w:sz w:val="20"/>
        <w:szCs w:val="20"/>
      </w:rPr>
      <w:t>iSENSE</w:t>
    </w:r>
    <w:r w:rsidRPr="00104998">
      <w:rPr>
        <w:sz w:val="20"/>
        <w:szCs w:val="20"/>
      </w:rPr>
      <w:t xml:space="preserve"> is a collaborative project of the University of Massachusetts Lowell </w:t>
    </w:r>
    <w:r>
      <w:rPr>
        <w:sz w:val="20"/>
        <w:szCs w:val="20"/>
      </w:rPr>
      <w:t>and Machine Science Inc.</w:t>
    </w:r>
  </w:p>
  <w:p w:rsidR="001040D9" w:rsidRPr="00164F23" w:rsidRDefault="001040D9" w:rsidP="00DE6BD2">
    <w:pPr>
      <w:jc w:val="center"/>
    </w:pPr>
    <w:r>
      <w:rPr>
        <w:sz w:val="20"/>
        <w:szCs w:val="20"/>
      </w:rPr>
      <w:t>The project is supported by two grants from the National Science Foundation (IIS-1123998</w:t>
    </w:r>
    <w:r w:rsidRPr="00DE6BD2">
      <w:rPr>
        <w:sz w:val="20"/>
        <w:szCs w:val="20"/>
      </w:rPr>
      <w:t xml:space="preserve"> and IIS-1123972</w:t>
    </w:r>
    <w:r>
      <w:rPr>
        <w:sz w:val="20"/>
        <w:szCs w:val="20"/>
      </w:rPr>
      <w:t>).</w:t>
    </w:r>
  </w:p>
  <w:p w:rsidR="001040D9" w:rsidRDefault="001040D9" w:rsidP="00DE6BD2">
    <w:pPr>
      <w:pStyle w:val="Piedepgina"/>
      <w:tabs>
        <w:tab w:val="clear" w:pos="4320"/>
        <w:tab w:val="clear" w:pos="8640"/>
        <w:tab w:val="left" w:pos="74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45" w:rsidRDefault="00663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E5" w:rsidRDefault="008011E5">
      <w:r>
        <w:separator/>
      </w:r>
    </w:p>
  </w:footnote>
  <w:footnote w:type="continuationSeparator" w:id="0">
    <w:p w:rsidR="008011E5" w:rsidRDefault="0080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45" w:rsidRDefault="006632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D9" w:rsidRPr="00164F23" w:rsidRDefault="001040D9" w:rsidP="000F5B68">
    <w:pPr>
      <w:pBdr>
        <w:bottom w:val="single" w:sz="6" w:space="1" w:color="auto"/>
      </w:pBdr>
      <w:tabs>
        <w:tab w:val="right" w:pos="10350"/>
      </w:tabs>
      <w:rPr>
        <w:rFonts w:ascii="Arial" w:hAnsi="Arial" w:cs="Arial"/>
        <w:sz w:val="28"/>
        <w:szCs w:val="28"/>
      </w:rPr>
    </w:pPr>
    <w:r>
      <w:rPr>
        <w:noProof/>
        <w:lang w:val="es-MX" w:eastAsia="es-MX"/>
      </w:rPr>
      <w:drawing>
        <wp:inline distT="0" distB="0" distL="0" distR="0">
          <wp:extent cx="1574800" cy="444500"/>
          <wp:effectExtent l="0" t="0" r="0" b="1270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669A6">
      <w:rPr>
        <w:rFonts w:ascii="Arial" w:hAnsi="Arial" w:cs="Arial"/>
        <w:b/>
        <w:color w:val="800000"/>
        <w:sz w:val="28"/>
        <w:szCs w:val="28"/>
      </w:rPr>
      <w:t>Probability</w:t>
    </w:r>
    <w:r>
      <w:rPr>
        <w:rFonts w:ascii="Arial" w:hAnsi="Arial" w:cs="Arial"/>
        <w:b/>
        <w:color w:val="800000"/>
        <w:sz w:val="28"/>
        <w:szCs w:val="28"/>
      </w:rPr>
      <w:t xml:space="preserve"> – Single Draw with Replacement</w:t>
    </w:r>
  </w:p>
  <w:p w:rsidR="001040D9" w:rsidRDefault="001040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45" w:rsidRDefault="006632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13D500D2"/>
    <w:multiLevelType w:val="hybridMultilevel"/>
    <w:tmpl w:val="4B067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131FC"/>
    <w:multiLevelType w:val="hybridMultilevel"/>
    <w:tmpl w:val="9378E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4026A"/>
    <w:multiLevelType w:val="hybridMultilevel"/>
    <w:tmpl w:val="B6BC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B2BC3"/>
    <w:multiLevelType w:val="hybridMultilevel"/>
    <w:tmpl w:val="11288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2B48FE"/>
    <w:multiLevelType w:val="hybridMultilevel"/>
    <w:tmpl w:val="1DD01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513C2"/>
    <w:multiLevelType w:val="hybridMultilevel"/>
    <w:tmpl w:val="748E0A0A"/>
    <w:lvl w:ilvl="0" w:tplc="2CE46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A55621"/>
    <w:multiLevelType w:val="hybridMultilevel"/>
    <w:tmpl w:val="F0C4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65484"/>
    <w:multiLevelType w:val="hybridMultilevel"/>
    <w:tmpl w:val="43C42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F2"/>
    <w:rsid w:val="00001078"/>
    <w:rsid w:val="0000608C"/>
    <w:rsid w:val="00034471"/>
    <w:rsid w:val="000463B9"/>
    <w:rsid w:val="000862C2"/>
    <w:rsid w:val="000A5EE5"/>
    <w:rsid w:val="000C3A73"/>
    <w:rsid w:val="000F5B68"/>
    <w:rsid w:val="001040D9"/>
    <w:rsid w:val="00131317"/>
    <w:rsid w:val="00177ECC"/>
    <w:rsid w:val="001D1BEC"/>
    <w:rsid w:val="001E1B46"/>
    <w:rsid w:val="00235510"/>
    <w:rsid w:val="00250467"/>
    <w:rsid w:val="00257483"/>
    <w:rsid w:val="002626E0"/>
    <w:rsid w:val="00264720"/>
    <w:rsid w:val="002705E3"/>
    <w:rsid w:val="0027147A"/>
    <w:rsid w:val="002C6686"/>
    <w:rsid w:val="002E7377"/>
    <w:rsid w:val="002F4FF2"/>
    <w:rsid w:val="002F56DE"/>
    <w:rsid w:val="002F6A3F"/>
    <w:rsid w:val="002F7590"/>
    <w:rsid w:val="0030254F"/>
    <w:rsid w:val="00334563"/>
    <w:rsid w:val="00397A9B"/>
    <w:rsid w:val="003F23B9"/>
    <w:rsid w:val="004011A7"/>
    <w:rsid w:val="004358FB"/>
    <w:rsid w:val="00491F4F"/>
    <w:rsid w:val="0049591F"/>
    <w:rsid w:val="004B57C4"/>
    <w:rsid w:val="004D652E"/>
    <w:rsid w:val="004E0CE2"/>
    <w:rsid w:val="004E5A66"/>
    <w:rsid w:val="00520635"/>
    <w:rsid w:val="00532505"/>
    <w:rsid w:val="005712AB"/>
    <w:rsid w:val="005B743E"/>
    <w:rsid w:val="005F0CDD"/>
    <w:rsid w:val="005F149D"/>
    <w:rsid w:val="005F20EE"/>
    <w:rsid w:val="00606FA1"/>
    <w:rsid w:val="00635CDE"/>
    <w:rsid w:val="00663245"/>
    <w:rsid w:val="00672A0E"/>
    <w:rsid w:val="006B4888"/>
    <w:rsid w:val="006F77DF"/>
    <w:rsid w:val="0070025F"/>
    <w:rsid w:val="007018F2"/>
    <w:rsid w:val="00741A8C"/>
    <w:rsid w:val="007423D6"/>
    <w:rsid w:val="007A5A4C"/>
    <w:rsid w:val="007A6241"/>
    <w:rsid w:val="007D14D8"/>
    <w:rsid w:val="007E2BF5"/>
    <w:rsid w:val="007E5699"/>
    <w:rsid w:val="007F52F5"/>
    <w:rsid w:val="008011E5"/>
    <w:rsid w:val="00826B33"/>
    <w:rsid w:val="00836FE5"/>
    <w:rsid w:val="0086054B"/>
    <w:rsid w:val="008A11CE"/>
    <w:rsid w:val="008A6C0A"/>
    <w:rsid w:val="008A715F"/>
    <w:rsid w:val="008B5565"/>
    <w:rsid w:val="008D172B"/>
    <w:rsid w:val="009031A2"/>
    <w:rsid w:val="0090508C"/>
    <w:rsid w:val="009116F0"/>
    <w:rsid w:val="009239C1"/>
    <w:rsid w:val="00995179"/>
    <w:rsid w:val="009D19DB"/>
    <w:rsid w:val="009D372D"/>
    <w:rsid w:val="00A01C02"/>
    <w:rsid w:val="00A34FC5"/>
    <w:rsid w:val="00A508B0"/>
    <w:rsid w:val="00A52400"/>
    <w:rsid w:val="00AF52DC"/>
    <w:rsid w:val="00AF7B13"/>
    <w:rsid w:val="00B244AA"/>
    <w:rsid w:val="00B669A6"/>
    <w:rsid w:val="00BC1AB9"/>
    <w:rsid w:val="00BC3E93"/>
    <w:rsid w:val="00BC5904"/>
    <w:rsid w:val="00BE7343"/>
    <w:rsid w:val="00C16825"/>
    <w:rsid w:val="00C4446D"/>
    <w:rsid w:val="00C53E36"/>
    <w:rsid w:val="00C80AE0"/>
    <w:rsid w:val="00C83ADF"/>
    <w:rsid w:val="00CB22D0"/>
    <w:rsid w:val="00CB5F17"/>
    <w:rsid w:val="00D13882"/>
    <w:rsid w:val="00DB6CAC"/>
    <w:rsid w:val="00DC3423"/>
    <w:rsid w:val="00DC52B8"/>
    <w:rsid w:val="00DE6BD2"/>
    <w:rsid w:val="00DF2093"/>
    <w:rsid w:val="00E128EE"/>
    <w:rsid w:val="00E33FEC"/>
    <w:rsid w:val="00E44E2D"/>
    <w:rsid w:val="00E65700"/>
    <w:rsid w:val="00E72260"/>
    <w:rsid w:val="00E73577"/>
    <w:rsid w:val="00E735EC"/>
    <w:rsid w:val="00E86FAD"/>
    <w:rsid w:val="00ED7657"/>
    <w:rsid w:val="00F36612"/>
    <w:rsid w:val="00F4254E"/>
    <w:rsid w:val="00F84639"/>
    <w:rsid w:val="00F85A52"/>
    <w:rsid w:val="00FA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619BD"/>
  <w15:docId w15:val="{3B3BD60C-EFF1-374A-BED5-010A8125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Heading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rsid w:val="00264720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264720"/>
    <w:pPr>
      <w:tabs>
        <w:tab w:val="center" w:pos="4320"/>
        <w:tab w:val="right" w:pos="8640"/>
      </w:tabs>
    </w:pPr>
  </w:style>
  <w:style w:type="paragraph" w:styleId="Sangra3detindependiente">
    <w:name w:val="Body Text Indent 3"/>
    <w:basedOn w:val="Normal"/>
    <w:rsid w:val="006F77DF"/>
    <w:pPr>
      <w:spacing w:after="120"/>
      <w:ind w:left="360"/>
    </w:pPr>
    <w:rPr>
      <w:sz w:val="16"/>
      <w:szCs w:val="16"/>
    </w:rPr>
  </w:style>
  <w:style w:type="table" w:styleId="Tablaconcuadrcula">
    <w:name w:val="Table Grid"/>
    <w:basedOn w:val="Tablanormal"/>
    <w:rsid w:val="004B57C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BalloonTextChar"/>
    <w:rsid w:val="00520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uentedeprrafopredeter"/>
    <w:link w:val="Textodeglobo"/>
    <w:rsid w:val="00520635"/>
    <w:rPr>
      <w:rFonts w:ascii="Lucida Grande" w:eastAsia="Arial Unicode MS" w:hAnsi="Lucida Grande" w:cs="Lucida Grande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86054B"/>
    <w:pPr>
      <w:ind w:left="720"/>
      <w:contextualSpacing/>
    </w:pPr>
  </w:style>
  <w:style w:type="character" w:styleId="Hipervnculovisitado">
    <w:name w:val="FollowedHyperlink"/>
    <w:basedOn w:val="Fuentedeprrafopredeter"/>
    <w:rsid w:val="002C6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nseproject.org" TargetMode="Externa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openxmlformats.org/officeDocument/2006/relationships/image" Target="media/image1.jpeg" /><Relationship Id="rId14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DBF0-8FF2-324A-8EED-9E85433E95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Using the PINPoint</vt:lpstr>
      <vt:lpstr>Using the PINPoint</vt:lpstr>
    </vt:vector>
  </TitlesOfParts>
  <Company>Machine Science Inc.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PINPoint</dc:title>
  <dc:subject/>
  <dc:creator>Ivan Rudnicki</dc:creator>
  <cp:keywords/>
  <dc:description/>
  <cp:lastModifiedBy>luganiwilliams@gmail.com</cp:lastModifiedBy>
  <cp:revision>7</cp:revision>
  <cp:lastPrinted>2013-05-09T15:47:00Z</cp:lastPrinted>
  <dcterms:created xsi:type="dcterms:W3CDTF">2017-04-28T15:47:00Z</dcterms:created>
  <dcterms:modified xsi:type="dcterms:W3CDTF">2017-04-28T15:50:00Z</dcterms:modified>
</cp:coreProperties>
</file>